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highlight w:val="none"/>
        </w:rPr>
      </w:pPr>
      <w:r>
        <w:t xml:space="preserve">Разработаны рекомендации по организации перевозки автобусами, трамваями или троллейбусами лица, не достигшего возраста шестнадцати лет, не подтвердившего оплату проезда</w:t>
      </w:r>
      <w:r/>
    </w:p>
    <w:p>
      <w:pPr>
        <w:jc w:val="both"/>
        <w:spacing w:after="0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</w:pPr>
      <w:r>
        <w:t xml:space="preserve"> </w:t>
      </w:r>
      <w:r/>
    </w:p>
    <w:p>
      <w:pPr>
        <w:jc w:val="both"/>
        <w:spacing w:after="0"/>
      </w:pPr>
      <w:r>
        <w:t xml:space="preserve">Соответствующие рекомендации направлены письмом Министерства транспорта Российской Федерации от 07.09.2023 № Д3/28400-ИС.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Согласно рекомендациям, в случае отказа лица, не достигшего возраста 16 лет, от подтверждения оплаты проезда и предоставления документа, удостоверяющего личность, целесообразно реализовать следующее: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1) создание государственного или муниципального учреждения, уполномоченного на осуществление проверки подтверждения оплаты проезда, перевозки багажа, провоза ручной клади по маршрутам регулярных перевозок в городском, пригородном и междугородном сообщении,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2) обеспечение оснащения подвижного состава городского наземного транспорта системами видеонаблюдения;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3) обеспечение удобства оплаты перевозки пассажира и багажа в транспортном средстве;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4) организация оперативного взаимодействия с органами внутренних дел, войск национальной гвардии в целях применения мер воздействия на лиц, не обеспечивающих соблюдение закона;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5) проведение </w:t>
      </w:r>
      <w:r>
        <w:t xml:space="preserve">предрейсового инструктажа работников перевозчика, уполномоченных на осуществление проверки подтверждения оплаты проезда, перевозки багажа, провоза ручной клади, а также должностных лиц органа исполнительной власти субъекта Российской Федерации, должностног</w:t>
      </w:r>
      <w:r>
        <w:t xml:space="preserve">о лица органа местного самоуправления либо должностного лица подведомственного такому органу государственного или муниципального учреждения, уполномоченного на осуществление проверки подтверждения оплаты проезда, перевозки багажа, провоза ручной клади по м</w:t>
      </w:r>
      <w:r>
        <w:t xml:space="preserve">аршрутам регулярных перевозок в городском, пригородном и междугородном сообщении, установленным в границах соответствующего субъекта РФ, о порядке действия в случае обнаружения в транспортном средстве лица, нарушившего порядок подтверждения оплаты проезда.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6) организация рейдовых мероприятий уполномоченными лицами совместно с сотрудниками органов внутренних дел, войск национальной гвардии в местах высадки пассажиров с целью пресечения нарушения порядка оплаты </w:t>
      </w:r>
      <w:r>
        <w:t xml:space="preserve">проезда путем задержания лиц, нарушивших такой порядок, и составления материалов об административном правонарушении;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7) выдача учащимся общеобразовательных учреждений карт школьника, позволяющих использовать их для установления личности учащегося. Организ</w:t>
      </w:r>
      <w:r>
        <w:t xml:space="preserve">ация взаимодействия с образовательными учреждениями, комиссиями по делам несовершеннолетних для проведения профилактической работы с родителями, а также привлечения их к административной ответственности за ненадлежащее исполнение родительских обязанностей.</w:t>
      </w:r>
      <w:r/>
    </w:p>
    <w:p>
      <w:pPr>
        <w:jc w:val="both"/>
        <w:spacing w:after="0"/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2</cp:revision>
  <dcterms:created xsi:type="dcterms:W3CDTF">2023-10-24T12:10:00Z</dcterms:created>
  <dcterms:modified xsi:type="dcterms:W3CDTF">2023-11-03T12:21:57Z</dcterms:modified>
</cp:coreProperties>
</file>